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D6BC3" w:rsidRDefault="00B85B61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 w:hint="eastAsia"/>
          <w:sz w:val="32"/>
          <w:szCs w:val="32"/>
        </w:rPr>
        <w:t>Supplementary Materials</w:t>
      </w:r>
    </w:p>
    <w:p w:rsidR="002D6BC3" w:rsidRDefault="00B85B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Anesthetic</w:t>
      </w:r>
      <w:r>
        <w:rPr>
          <w:rFonts w:ascii="Times New Roman" w:hAnsi="Times New Roman" w:cs="Times New Roman"/>
          <w:sz w:val="28"/>
          <w:szCs w:val="28"/>
        </w:rPr>
        <w:t>：</w:t>
      </w:r>
      <w:r>
        <w:rPr>
          <w:rFonts w:ascii="Times New Roman" w:hAnsi="Times New Roman" w:cs="Times New Roman"/>
          <w:sz w:val="28"/>
          <w:szCs w:val="28"/>
        </w:rPr>
        <w:t>pentobarbital sodium</w:t>
      </w:r>
    </w:p>
    <w:p w:rsidR="002D6BC3" w:rsidRDefault="00B85B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Drug concentration</w:t>
      </w:r>
      <w:r>
        <w:rPr>
          <w:rFonts w:ascii="Times New Roman" w:hAnsi="Times New Roman" w:cs="Times New Roman"/>
          <w:sz w:val="28"/>
          <w:szCs w:val="28"/>
        </w:rPr>
        <w:t>：</w:t>
      </w:r>
      <w:r>
        <w:rPr>
          <w:rFonts w:ascii="Times New Roman" w:hAnsi="Times New Roman" w:cs="Times New Roman"/>
          <w:sz w:val="28"/>
          <w:szCs w:val="28"/>
        </w:rPr>
        <w:t>1%</w:t>
      </w:r>
    </w:p>
    <w:p w:rsidR="002D6BC3" w:rsidRDefault="00B85B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Dosage</w:t>
      </w:r>
      <w:r>
        <w:rPr>
          <w:rFonts w:ascii="Times New Roman" w:hAnsi="Times New Roman" w:cs="Times New Roman"/>
          <w:sz w:val="28"/>
          <w:szCs w:val="28"/>
        </w:rPr>
        <w:t>：</w:t>
      </w:r>
      <w:r>
        <w:rPr>
          <w:rFonts w:ascii="Times New Roman" w:hAnsi="Times New Roman" w:cs="Times New Roman"/>
          <w:sz w:val="28"/>
          <w:szCs w:val="28"/>
        </w:rPr>
        <w:t>70mg/kg</w:t>
      </w:r>
    </w:p>
    <w:p w:rsidR="002D6BC3" w:rsidRDefault="00B85B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Administration protocol</w:t>
      </w:r>
      <w:r>
        <w:rPr>
          <w:rFonts w:ascii="Times New Roman" w:hAnsi="Times New Roman" w:cs="Times New Roman"/>
          <w:sz w:val="28"/>
          <w:szCs w:val="28"/>
        </w:rPr>
        <w:t>：</w:t>
      </w:r>
      <w:r>
        <w:rPr>
          <w:rFonts w:ascii="Times New Roman" w:hAnsi="Times New Roman" w:cs="Times New Roman"/>
          <w:sz w:val="28"/>
          <w:szCs w:val="28"/>
        </w:rPr>
        <w:t>intraperitoneal injection</w:t>
      </w:r>
    </w:p>
    <w:p w:rsidR="002D6BC3" w:rsidRDefault="002D6BC3">
      <w:pPr>
        <w:rPr>
          <w:rFonts w:ascii="Times New Roman" w:hAnsi="Times New Roman" w:cs="Times New Roman"/>
          <w:sz w:val="28"/>
          <w:szCs w:val="28"/>
        </w:rPr>
      </w:pPr>
    </w:p>
    <w:p w:rsidR="002D6BC3" w:rsidRDefault="00B85B61">
      <w:pPr>
        <w:rPr>
          <w:rFonts w:ascii="Times New Roman" w:eastAsia="宋体" w:hAnsi="Times New Roman" w:cs="Times New Roman"/>
          <w:kern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Drug</w:t>
      </w:r>
      <w:r>
        <w:rPr>
          <w:rFonts w:ascii="Times New Roman" w:hAnsi="Times New Roman" w:cs="Times New Roman"/>
          <w:sz w:val="28"/>
          <w:szCs w:val="28"/>
        </w:rPr>
        <w:t>：</w:t>
      </w:r>
      <w:r>
        <w:rPr>
          <w:rFonts w:ascii="Times New Roman" w:eastAsia="宋体" w:hAnsi="Times New Roman" w:cs="Times New Roman"/>
          <w:kern w:val="0"/>
          <w:sz w:val="28"/>
          <w:szCs w:val="28"/>
        </w:rPr>
        <w:t>Maraviroc</w:t>
      </w:r>
      <w:r>
        <w:rPr>
          <w:rFonts w:ascii="Times New Roman" w:eastAsia="宋体" w:hAnsi="Times New Roman" w:cs="Times New Roman"/>
          <w:kern w:val="0"/>
          <w:sz w:val="28"/>
          <w:szCs w:val="28"/>
        </w:rPr>
        <w:t>（</w:t>
      </w:r>
      <w:r>
        <w:rPr>
          <w:rFonts w:ascii="Times New Roman" w:eastAsia="宋体" w:hAnsi="Times New Roman" w:cs="Times New Roman"/>
          <w:kern w:val="0"/>
          <w:sz w:val="28"/>
          <w:szCs w:val="28"/>
        </w:rPr>
        <w:t>selective CCR5 antagonist</w:t>
      </w:r>
      <w:r>
        <w:rPr>
          <w:rFonts w:ascii="Times New Roman" w:eastAsia="宋体" w:hAnsi="Times New Roman" w:cs="Times New Roman"/>
          <w:kern w:val="0"/>
          <w:sz w:val="28"/>
          <w:szCs w:val="28"/>
        </w:rPr>
        <w:t>）</w:t>
      </w:r>
    </w:p>
    <w:p w:rsidR="002D6BC3" w:rsidRDefault="00B85B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Drug concentration</w:t>
      </w:r>
      <w:r>
        <w:rPr>
          <w:rFonts w:ascii="Times New Roman" w:hAnsi="Times New Roman" w:cs="Times New Roman"/>
          <w:sz w:val="28"/>
          <w:szCs w:val="28"/>
        </w:rPr>
        <w:t>：</w:t>
      </w:r>
      <w:r>
        <w:rPr>
          <w:rFonts w:ascii="Times New Roman" w:hAnsi="Times New Roman" w:cs="Times New Roman"/>
          <w:sz w:val="28"/>
          <w:szCs w:val="28"/>
        </w:rPr>
        <w:t>1mg/ml</w:t>
      </w:r>
    </w:p>
    <w:p w:rsidR="002D6BC3" w:rsidRDefault="00B85B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Dosage</w:t>
      </w:r>
      <w:r>
        <w:rPr>
          <w:rFonts w:ascii="Times New Roman" w:hAnsi="Times New Roman" w:cs="Times New Roman"/>
          <w:sz w:val="28"/>
          <w:szCs w:val="28"/>
        </w:rPr>
        <w:t>：</w:t>
      </w:r>
      <w:r>
        <w:rPr>
          <w:rFonts w:ascii="Times New Roman" w:hAnsi="Times New Roman" w:cs="Times New Roman"/>
          <w:sz w:val="28"/>
          <w:szCs w:val="28"/>
        </w:rPr>
        <w:t>10μg/g</w:t>
      </w:r>
    </w:p>
    <w:p w:rsidR="002D6BC3" w:rsidRDefault="00B85B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Administration protocol</w:t>
      </w:r>
      <w:r>
        <w:rPr>
          <w:rFonts w:ascii="Times New Roman" w:hAnsi="Times New Roman" w:cs="Times New Roman"/>
          <w:sz w:val="28"/>
          <w:szCs w:val="28"/>
        </w:rPr>
        <w:t>：</w:t>
      </w:r>
      <w:r>
        <w:rPr>
          <w:rFonts w:ascii="Times New Roman" w:hAnsi="Times New Roman" w:cs="Times New Roman"/>
          <w:sz w:val="28"/>
          <w:szCs w:val="28"/>
        </w:rPr>
        <w:t xml:space="preserve">oral </w:t>
      </w:r>
      <w:r>
        <w:rPr>
          <w:rFonts w:ascii="Times New Roman" w:hAnsi="Times New Roman" w:cs="Times New Roman"/>
          <w:sz w:val="28"/>
          <w:szCs w:val="28"/>
        </w:rPr>
        <w:t>gavage</w:t>
      </w:r>
      <w:r>
        <w:rPr>
          <w:rFonts w:ascii="Times New Roman" w:hAnsi="Times New Roman" w:cs="Times New Roman" w:hint="eastAsia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30 min before LPS</w:t>
      </w:r>
    </w:p>
    <w:p w:rsidR="002D6BC3" w:rsidRDefault="002D6BC3">
      <w:pPr>
        <w:rPr>
          <w:rFonts w:ascii="Times New Roman" w:hAnsi="Times New Roman" w:cs="Times New Roman"/>
          <w:sz w:val="28"/>
          <w:szCs w:val="28"/>
        </w:rPr>
      </w:pPr>
    </w:p>
    <w:p w:rsidR="002D6BC3" w:rsidRDefault="00B85B61">
      <w:pPr>
        <w:rPr>
          <w:rFonts w:ascii="Times New Roman" w:eastAsia="宋体" w:hAnsi="Times New Roman" w:cs="Times New Roman"/>
          <w:kern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Drug</w:t>
      </w:r>
      <w:r>
        <w:rPr>
          <w:rFonts w:ascii="Times New Roman" w:hAnsi="Times New Roman" w:cs="Times New Roman"/>
          <w:sz w:val="28"/>
          <w:szCs w:val="28"/>
        </w:rPr>
        <w:t>：</w:t>
      </w:r>
      <w:r>
        <w:rPr>
          <w:rFonts w:ascii="Times New Roman" w:eastAsia="宋体" w:hAnsi="Times New Roman" w:cs="Times New Roman"/>
          <w:kern w:val="0"/>
          <w:sz w:val="28"/>
          <w:szCs w:val="28"/>
        </w:rPr>
        <w:t>LPS</w:t>
      </w:r>
    </w:p>
    <w:p w:rsidR="002D6BC3" w:rsidRDefault="00B85B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Drug concentration</w:t>
      </w:r>
      <w:r>
        <w:rPr>
          <w:rFonts w:ascii="Times New Roman" w:hAnsi="Times New Roman" w:cs="Times New Roman"/>
          <w:sz w:val="28"/>
          <w:szCs w:val="28"/>
        </w:rPr>
        <w:t>：</w:t>
      </w:r>
      <w:r>
        <w:rPr>
          <w:rFonts w:ascii="Times New Roman" w:hAnsi="Times New Roman" w:cs="Times New Roman"/>
          <w:sz w:val="28"/>
          <w:szCs w:val="28"/>
        </w:rPr>
        <w:t>2mg/ml</w:t>
      </w:r>
    </w:p>
    <w:p w:rsidR="002D6BC3" w:rsidRDefault="00B85B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Dosage</w:t>
      </w:r>
      <w:r>
        <w:rPr>
          <w:rFonts w:ascii="Times New Roman" w:hAnsi="Times New Roman" w:cs="Times New Roman"/>
          <w:sz w:val="28"/>
          <w:szCs w:val="28"/>
        </w:rPr>
        <w:t>：</w:t>
      </w:r>
      <w:r>
        <w:rPr>
          <w:rFonts w:ascii="Times New Roman" w:hAnsi="Times New Roman" w:cs="Times New Roman"/>
          <w:sz w:val="28"/>
          <w:szCs w:val="28"/>
        </w:rPr>
        <w:t>3mg/kg</w:t>
      </w:r>
    </w:p>
    <w:p w:rsidR="002D6BC3" w:rsidRDefault="00B85B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Administration protocol</w:t>
      </w:r>
      <w:r>
        <w:rPr>
          <w:rFonts w:ascii="Times New Roman" w:hAnsi="Times New Roman" w:cs="Times New Roman"/>
          <w:sz w:val="28"/>
          <w:szCs w:val="28"/>
        </w:rPr>
        <w:t>：</w:t>
      </w:r>
      <w:r>
        <w:rPr>
          <w:rFonts w:ascii="Times New Roman" w:hAnsi="Times New Roman" w:cs="Times New Roman" w:hint="eastAsia"/>
          <w:sz w:val="28"/>
          <w:szCs w:val="28"/>
        </w:rPr>
        <w:t>intratracheal instillation</w:t>
      </w:r>
    </w:p>
    <w:p w:rsidR="002D6BC3" w:rsidRDefault="002D6BC3">
      <w:pPr>
        <w:rPr>
          <w:rFonts w:ascii="Times New Roman" w:hAnsi="Times New Roman" w:cs="Times New Roman"/>
          <w:sz w:val="30"/>
          <w:szCs w:val="30"/>
        </w:rPr>
      </w:pPr>
    </w:p>
    <w:p w:rsidR="002D6BC3" w:rsidRDefault="002D6BC3">
      <w:pPr>
        <w:rPr>
          <w:rFonts w:ascii="Times New Roman" w:hAnsi="Times New Roman" w:cs="Times New Roman"/>
          <w:sz w:val="30"/>
          <w:szCs w:val="30"/>
        </w:rPr>
      </w:pPr>
    </w:p>
    <w:p w:rsidR="002D6BC3" w:rsidRDefault="002D6BC3">
      <w:pPr>
        <w:rPr>
          <w:rFonts w:ascii="Times New Roman" w:hAnsi="Times New Roman" w:cs="Times New Roman"/>
          <w:sz w:val="30"/>
          <w:szCs w:val="30"/>
        </w:rPr>
      </w:pPr>
    </w:p>
    <w:p w:rsidR="002D6BC3" w:rsidRDefault="00B85B61">
      <w:pPr>
        <w:ind w:firstLineChars="100" w:firstLine="30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 w:hint="eastAsia"/>
          <w:sz w:val="30"/>
          <w:szCs w:val="30"/>
        </w:rPr>
        <w:lastRenderedPageBreak/>
        <w:t xml:space="preserve">NICD, CCR5 and GAPDH in Figure 1B </w:t>
      </w:r>
      <w:r>
        <w:rPr>
          <w:noProof/>
        </w:rPr>
        <w:drawing>
          <wp:inline distT="0" distB="0" distL="0" distR="0">
            <wp:extent cx="5274310" cy="3719334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19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BC3" w:rsidRDefault="002D6BC3">
      <w:pPr>
        <w:rPr>
          <w:rFonts w:ascii="Times New Roman" w:hAnsi="Times New Roman" w:cs="Times New Roman"/>
          <w:sz w:val="30"/>
          <w:szCs w:val="30"/>
        </w:rPr>
      </w:pPr>
    </w:p>
    <w:p w:rsidR="002D6BC3" w:rsidRDefault="002D6BC3">
      <w:pPr>
        <w:rPr>
          <w:rFonts w:ascii="Times New Roman" w:hAnsi="Times New Roman" w:cs="Times New Roman"/>
          <w:sz w:val="30"/>
          <w:szCs w:val="30"/>
        </w:rPr>
      </w:pPr>
    </w:p>
    <w:p w:rsidR="002D6BC3" w:rsidRDefault="00B85B61">
      <w:pPr>
        <w:ind w:left="150" w:hangingChars="50" w:hanging="15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 w:hint="eastAsia"/>
          <w:sz w:val="30"/>
          <w:szCs w:val="30"/>
        </w:rPr>
        <w:t>CCR5 and GAPDH in Figure 3D,3F</w:t>
      </w:r>
    </w:p>
    <w:p w:rsidR="002D6BC3" w:rsidRDefault="00B85B61">
      <w:pPr>
        <w:ind w:left="110" w:hangingChars="50" w:hanging="110"/>
        <w:rPr>
          <w:rFonts w:ascii="Times New Roman" w:hAnsi="Times New Roman" w:cs="Times New Roman"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5274310" cy="6049426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04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BC3" w:rsidRDefault="002D6BC3">
      <w:pPr>
        <w:ind w:left="150" w:hangingChars="50" w:hanging="150"/>
        <w:rPr>
          <w:rFonts w:ascii="Times New Roman" w:hAnsi="Times New Roman" w:cs="Times New Roman"/>
          <w:sz w:val="30"/>
          <w:szCs w:val="30"/>
        </w:rPr>
      </w:pPr>
      <w:bookmarkStart w:id="0" w:name="_GoBack"/>
      <w:bookmarkEnd w:id="0"/>
    </w:p>
    <w:p w:rsidR="002D6BC3" w:rsidRDefault="002D6BC3">
      <w:pPr>
        <w:ind w:left="150" w:hangingChars="50" w:hanging="150"/>
        <w:rPr>
          <w:rFonts w:ascii="Times New Roman" w:hAnsi="Times New Roman" w:cs="Times New Roman"/>
          <w:sz w:val="30"/>
          <w:szCs w:val="30"/>
        </w:rPr>
      </w:pPr>
    </w:p>
    <w:p w:rsidR="002D6BC3" w:rsidRDefault="00B85B61">
      <w:pPr>
        <w:ind w:left="150" w:hangingChars="50" w:hanging="15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 w:hint="eastAsia"/>
          <w:sz w:val="30"/>
          <w:szCs w:val="30"/>
        </w:rPr>
        <w:t>NICD and GAPDH in Figure 3D,3F</w:t>
      </w:r>
    </w:p>
    <w:p w:rsidR="002D6BC3" w:rsidRDefault="00B85B61">
      <w:pPr>
        <w:ind w:left="110" w:hangingChars="50" w:hanging="110"/>
        <w:rPr>
          <w:rFonts w:ascii="Times New Roman" w:hAnsi="Times New Roman" w:cs="Times New Roman"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5274310" cy="6819672"/>
            <wp:effectExtent l="0" t="0" r="254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19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BC3" w:rsidRDefault="00B85B61">
      <w:pPr>
        <w:ind w:left="150" w:hangingChars="50" w:hanging="15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 w:hint="eastAsia"/>
          <w:sz w:val="30"/>
          <w:szCs w:val="30"/>
        </w:rPr>
        <w:t xml:space="preserve">NICD, CCR5 </w:t>
      </w:r>
      <w:r>
        <w:rPr>
          <w:rFonts w:ascii="Times New Roman" w:hAnsi="Times New Roman" w:cs="Times New Roman" w:hint="eastAsia"/>
          <w:sz w:val="30"/>
          <w:szCs w:val="30"/>
        </w:rPr>
        <w:t>and GAPDH in Figure 4B</w:t>
      </w:r>
    </w:p>
    <w:p w:rsidR="002D6BC3" w:rsidRDefault="00B85B61">
      <w:pPr>
        <w:ind w:left="110" w:hangingChars="50" w:hanging="110"/>
        <w:rPr>
          <w:rFonts w:ascii="Times New Roman" w:hAnsi="Times New Roman" w:cs="Times New Roman"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5274310" cy="4407097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07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BC3" w:rsidRDefault="002D6BC3">
      <w:pPr>
        <w:rPr>
          <w:rFonts w:ascii="Times New Roman" w:hAnsi="Times New Roman" w:cs="Times New Roman"/>
          <w:sz w:val="30"/>
          <w:szCs w:val="30"/>
        </w:rPr>
      </w:pPr>
    </w:p>
    <w:p w:rsidR="002D6BC3" w:rsidRDefault="002D6BC3">
      <w:pPr>
        <w:rPr>
          <w:rFonts w:ascii="Times New Roman" w:hAnsi="Times New Roman" w:cs="Times New Roman"/>
          <w:sz w:val="30"/>
          <w:szCs w:val="30"/>
        </w:rPr>
      </w:pPr>
    </w:p>
    <w:sectPr w:rsidR="002D6BC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D6BC3" w:rsidRDefault="00B85B61">
      <w:pPr>
        <w:spacing w:line="240" w:lineRule="auto"/>
      </w:pPr>
      <w:r>
        <w:separator/>
      </w:r>
    </w:p>
  </w:endnote>
  <w:endnote w:type="continuationSeparator" w:id="0">
    <w:p w:rsidR="002D6BC3" w:rsidRDefault="00B85B6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D6BC3" w:rsidRDefault="00B85B61">
      <w:pPr>
        <w:spacing w:after="0"/>
      </w:pPr>
      <w:r>
        <w:separator/>
      </w:r>
    </w:p>
  </w:footnote>
  <w:footnote w:type="continuationSeparator" w:id="0">
    <w:p w:rsidR="002D6BC3" w:rsidRDefault="00B85B61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13F66"/>
    <w:rsid w:val="00012212"/>
    <w:rsid w:val="00150ECE"/>
    <w:rsid w:val="0021619C"/>
    <w:rsid w:val="002D6BC3"/>
    <w:rsid w:val="003648E1"/>
    <w:rsid w:val="003A737C"/>
    <w:rsid w:val="005D4F38"/>
    <w:rsid w:val="006121BD"/>
    <w:rsid w:val="00643E51"/>
    <w:rsid w:val="007E144E"/>
    <w:rsid w:val="00AA065A"/>
    <w:rsid w:val="00B85B61"/>
    <w:rsid w:val="00CB41B6"/>
    <w:rsid w:val="00D067C8"/>
    <w:rsid w:val="00D13F66"/>
    <w:rsid w:val="00E77997"/>
    <w:rsid w:val="00ED5989"/>
    <w:rsid w:val="00FA4C2F"/>
    <w:rsid w:val="1F566F76"/>
    <w:rsid w:val="56D67D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40702D0"/>
  <w15:docId w15:val="{FA54DAB0-C945-4E5A-B13E-B568D7F426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spacing w:after="160" w:line="278" w:lineRule="auto"/>
    </w:pPr>
    <w:rPr>
      <w:kern w:val="2"/>
      <w:sz w:val="22"/>
      <w:szCs w:val="24"/>
      <w14:ligatures w14:val="standardContextual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 w:after="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a7">
    <w:name w:val="Subtitle"/>
    <w:basedOn w:val="a"/>
    <w:next w:val="a"/>
    <w:link w:val="a8"/>
    <w:uiPriority w:val="11"/>
    <w:qFormat/>
    <w:p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9">
    <w:name w:val="Title"/>
    <w:basedOn w:val="a"/>
    <w:next w:val="a"/>
    <w:link w:val="aa"/>
    <w:uiPriority w:val="10"/>
    <w:qFormat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ab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10">
    <w:name w:val="标题 1 字符"/>
    <w:basedOn w:val="a0"/>
    <w:link w:val="1"/>
    <w:uiPriority w:val="9"/>
    <w:qFormat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qFormat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qFormat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qFormat/>
    <w:rPr>
      <w:rFonts w:cstheme="majorBidi"/>
      <w:color w:val="2F5496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qFormat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qFormat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qFormat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aa">
    <w:name w:val="标题 字符"/>
    <w:basedOn w:val="a0"/>
    <w:link w:val="a9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8">
    <w:name w:val="副标题 字符"/>
    <w:basedOn w:val="a0"/>
    <w:link w:val="a7"/>
    <w:uiPriority w:val="11"/>
    <w:qFormat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c">
    <w:name w:val="Quote"/>
    <w:basedOn w:val="a"/>
    <w:next w:val="a"/>
    <w:link w:val="ad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d">
    <w:name w:val="引用 字符"/>
    <w:basedOn w:val="a0"/>
    <w:link w:val="ac"/>
    <w:uiPriority w:val="29"/>
    <w:qFormat/>
    <w:rPr>
      <w:i/>
      <w:iCs/>
      <w:color w:val="404040" w:themeColor="text1" w:themeTint="BF"/>
    </w:rPr>
  </w:style>
  <w:style w:type="paragraph" w:styleId="ae">
    <w:name w:val="List Paragraph"/>
    <w:basedOn w:val="a"/>
    <w:uiPriority w:val="34"/>
    <w:qFormat/>
    <w:pPr>
      <w:ind w:left="720"/>
      <w:contextualSpacing/>
    </w:pPr>
  </w:style>
  <w:style w:type="character" w:customStyle="1" w:styleId="11">
    <w:name w:val="明显强调1"/>
    <w:basedOn w:val="a0"/>
    <w:uiPriority w:val="21"/>
    <w:qFormat/>
    <w:rPr>
      <w:i/>
      <w:iCs/>
      <w:color w:val="2F5496" w:themeColor="accent1" w:themeShade="BF"/>
    </w:rPr>
  </w:style>
  <w:style w:type="paragraph" w:styleId="af">
    <w:name w:val="Intense Quote"/>
    <w:basedOn w:val="a"/>
    <w:next w:val="a"/>
    <w:link w:val="af0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f0">
    <w:name w:val="明显引用 字符"/>
    <w:basedOn w:val="a0"/>
    <w:link w:val="af"/>
    <w:uiPriority w:val="30"/>
    <w:qFormat/>
    <w:rPr>
      <w:i/>
      <w:iCs/>
      <w:color w:val="2F5496" w:themeColor="accent1" w:themeShade="BF"/>
    </w:rPr>
  </w:style>
  <w:style w:type="character" w:customStyle="1" w:styleId="12">
    <w:name w:val="明显参考1"/>
    <w:basedOn w:val="a0"/>
    <w:uiPriority w:val="32"/>
    <w:qFormat/>
    <w:rPr>
      <w:b/>
      <w:bCs/>
      <w:smallCaps/>
      <w:color w:val="2F5496" w:themeColor="accent1" w:themeShade="BF"/>
      <w:spacing w:val="5"/>
    </w:rPr>
  </w:style>
  <w:style w:type="character" w:customStyle="1" w:styleId="13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5</Pages>
  <Words>80</Words>
  <Characters>448</Characters>
  <Application>Microsoft Office Word</Application>
  <DocSecurity>0</DocSecurity>
  <Lines>40</Lines>
  <Paragraphs>19</Paragraphs>
  <ScaleCrop>false</ScaleCrop>
  <Company/>
  <LinksUpToDate>false</LinksUpToDate>
  <CharactersWithSpaces>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252764398@qq.com</dc:creator>
  <cp:lastModifiedBy>Erin Hee</cp:lastModifiedBy>
  <cp:revision>6</cp:revision>
  <dcterms:created xsi:type="dcterms:W3CDTF">2025-02-08T02:38:00Z</dcterms:created>
  <dcterms:modified xsi:type="dcterms:W3CDTF">2025-04-17T01:06:00Z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02103e4793e50f0103d1887135abbaced4986b91f69dfbbe0c20498e246046b3</vt:lpwstr>
  </property>
  <property fmtid="{D5CDD505-2E9C-101B-9397-08002B2CF9AE}" pid="3" name="KSOProductBuildVer">
    <vt:lpwstr>2052-12.1.0.20305</vt:lpwstr>
  </property>
  <property fmtid="{D5CDD505-2E9C-101B-9397-08002B2CF9AE}" pid="4" name="ICV">
    <vt:lpwstr>54B068FE5D82420A88A2BB6AC8DFB3E5_13</vt:lpwstr>
  </property>
</Properties>
</file>